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0B" w:rsidRDefault="0065560B">
      <w:pPr>
        <w:framePr w:w="11" w:h="11" w:hRule="exact" w:hSpace="142" w:wrap="around" w:vAnchor="page" w:hAnchor="page" w:x="562" w:y="5665" w:anchorLock="1"/>
        <w:pBdr>
          <w:top w:val="single" w:sz="6" w:space="1" w:color="auto"/>
          <w:left w:val="single" w:sz="6" w:space="1" w:color="auto"/>
          <w:bottom w:val="single" w:sz="6" w:space="1" w:color="auto"/>
          <w:right w:val="single" w:sz="6" w:space="1" w:color="auto"/>
        </w:pBdr>
      </w:pPr>
    </w:p>
    <w:p w:rsidR="0065560B" w:rsidRDefault="0065560B">
      <w:pPr>
        <w:framePr w:w="11" w:h="11" w:hRule="exact" w:hSpace="142" w:wrap="around" w:vAnchor="page" w:hAnchor="page" w:x="562" w:y="8512" w:anchorLock="1"/>
        <w:pBdr>
          <w:top w:val="single" w:sz="6" w:space="1" w:color="auto"/>
          <w:left w:val="single" w:sz="6" w:space="1" w:color="auto"/>
          <w:bottom w:val="single" w:sz="6" w:space="1" w:color="auto"/>
          <w:right w:val="single" w:sz="6" w:space="1" w:color="auto"/>
        </w:pBdr>
      </w:pPr>
    </w:p>
    <w:p w:rsidR="0065560B" w:rsidRDefault="0065560B">
      <w:pPr>
        <w:framePr w:w="9979" w:h="2520" w:hRule="exact" w:hSpace="142" w:wrap="around" w:vAnchor="page" w:hAnchor="page" w:x="1522" w:y="365"/>
        <w:tabs>
          <w:tab w:val="left" w:pos="993"/>
        </w:tabs>
        <w:spacing w:after="240"/>
        <w:ind w:left="6381"/>
        <w:jc w:val="center"/>
        <w:rPr>
          <w:spacing w:val="20"/>
          <w:sz w:val="16"/>
        </w:rPr>
      </w:pPr>
    </w:p>
    <w:p w:rsidR="0065560B" w:rsidRDefault="00695BC0" w:rsidP="00297257">
      <w:pPr>
        <w:pStyle w:val="Kopflinie"/>
        <w:framePr w:w="9979" w:h="2520" w:hRule="exact" w:hSpace="142" w:wrap="around" w:vAnchor="page" w:hAnchor="page" w:x="1522" w:y="365"/>
        <w:pBdr>
          <w:bottom w:val="none" w:sz="0" w:space="0" w:color="auto"/>
          <w:between w:val="none" w:sz="0" w:space="0" w:color="auto"/>
        </w:pBdr>
        <w:spacing w:after="0"/>
        <w:jc w:val="center"/>
        <w:rPr>
          <w:rFonts w:ascii="Arial" w:hAnsi="Arial"/>
        </w:rPr>
      </w:pPr>
      <w:r w:rsidRPr="00695BC0">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leem" style="width:236.8pt;height:90.25pt;visibility:visible;mso-wrap-style:square">
            <v:imagedata r:id="rId8" o:title="embleem"/>
          </v:shape>
        </w:pict>
      </w:r>
    </w:p>
    <w:p w:rsidR="00E97D93" w:rsidRDefault="00E97D93" w:rsidP="00E97D93">
      <w:pPr>
        <w:ind w:left="6381"/>
        <w:jc w:val="center"/>
        <w:rPr>
          <w:rFonts w:ascii="Arial" w:hAnsi="Arial"/>
          <w:b/>
          <w:spacing w:val="20"/>
          <w:sz w:val="16"/>
        </w:rPr>
      </w:pPr>
    </w:p>
    <w:p w:rsidR="0065560B" w:rsidRDefault="0065560B">
      <w:bookmarkStart w:id="0" w:name="neutral"/>
    </w:p>
    <w:p w:rsidR="000553A7" w:rsidRDefault="000553A7"/>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9B4A62" w:rsidRDefault="009B4A62" w:rsidP="009B4A62">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r>
        <w:rPr>
          <w:rFonts w:ascii="Arial" w:hAnsi="Arial"/>
          <w:b/>
          <w:noProof/>
          <w:color w:val="000000" w:themeColor="text1"/>
          <w:spacing w:val="20"/>
          <w:sz w:val="16"/>
        </w:rPr>
        <w:t>Dr. Stephan Schmelzer</w:t>
      </w:r>
    </w:p>
    <w:p w:rsidR="00297257" w:rsidRDefault="00297257" w:rsidP="00297257">
      <w:pPr>
        <w:framePr w:w="9979" w:h="4463" w:hRule="exact" w:hSpace="142" w:wrap="around" w:vAnchor="page" w:hAnchor="page" w:x="1522" w:y="365"/>
        <w:ind w:left="6237" w:hanging="141"/>
        <w:jc w:val="center"/>
        <w:rPr>
          <w:rFonts w:ascii="Arial" w:hAnsi="Arial"/>
          <w:noProof/>
          <w:color w:val="000000" w:themeColor="text1"/>
          <w:spacing w:val="20"/>
          <w:sz w:val="14"/>
        </w:rPr>
      </w:pPr>
      <w:r>
        <w:rPr>
          <w:rFonts w:ascii="Arial" w:hAnsi="Arial"/>
          <w:noProof/>
          <w:color w:val="000000" w:themeColor="text1"/>
          <w:spacing w:val="20"/>
          <w:sz w:val="14"/>
        </w:rPr>
        <w:t xml:space="preserve">  Rechtsanwalt  und  Fachanwalt Arbeitsrecht</w:t>
      </w:r>
    </w:p>
    <w:p w:rsidR="00297257" w:rsidRDefault="00297257" w:rsidP="00297257">
      <w:pPr>
        <w:framePr w:w="9979" w:h="4463" w:hRule="exact" w:hSpace="142" w:wrap="around" w:vAnchor="page" w:hAnchor="page" w:x="1522" w:y="365"/>
        <w:ind w:left="6237" w:hanging="141"/>
        <w:jc w:val="center"/>
        <w:rPr>
          <w:rFonts w:ascii="Arial" w:hAnsi="Arial"/>
          <w:noProof/>
          <w:color w:val="000000" w:themeColor="text1"/>
          <w:spacing w:val="20"/>
          <w:sz w:val="14"/>
        </w:rPr>
      </w:pPr>
      <w:r>
        <w:rPr>
          <w:rFonts w:ascii="Arial" w:hAnsi="Arial"/>
          <w:noProof/>
          <w:color w:val="000000" w:themeColor="text1"/>
          <w:spacing w:val="20"/>
          <w:sz w:val="14"/>
        </w:rPr>
        <w:t xml:space="preserve">Fachanwalt IT-Recht </w:t>
      </w:r>
    </w:p>
    <w:p w:rsidR="00297257" w:rsidRDefault="00297257" w:rsidP="00297257">
      <w:pPr>
        <w:framePr w:w="9979" w:h="4463" w:hRule="exact" w:hSpace="142" w:wrap="around" w:vAnchor="page" w:hAnchor="page" w:x="1522" w:y="365"/>
        <w:ind w:left="6379" w:hanging="142"/>
        <w:jc w:val="center"/>
        <w:rPr>
          <w:rFonts w:ascii="Arial" w:hAnsi="Arial"/>
          <w:noProof/>
          <w:color w:val="000000" w:themeColor="text1"/>
          <w:sz w:val="14"/>
        </w:rPr>
      </w:pPr>
      <w:r>
        <w:rPr>
          <w:rFonts w:ascii="Arial" w:hAnsi="Arial"/>
          <w:noProof/>
          <w:color w:val="000000" w:themeColor="text1"/>
          <w:sz w:val="14"/>
        </w:rPr>
        <w:t>Vertretungsberechtigt vor allen Amts,- Land- und Oberlandesgerichten</w:t>
      </w:r>
    </w:p>
    <w:p w:rsidR="00297257" w:rsidRDefault="00297257" w:rsidP="00297257">
      <w:pPr>
        <w:framePr w:w="9979" w:h="4463" w:hRule="exact" w:hSpace="142" w:wrap="around" w:vAnchor="page" w:hAnchor="page" w:x="1522" w:y="365"/>
        <w:ind w:left="6381"/>
        <w:jc w:val="center"/>
        <w:rPr>
          <w:rFonts w:ascii="Arial" w:hAnsi="Arial"/>
          <w:b/>
          <w:noProof/>
          <w:color w:val="000000" w:themeColor="text1"/>
          <w:spacing w:val="20"/>
          <w:sz w:val="16"/>
        </w:rPr>
      </w:pPr>
      <w:r>
        <w:rPr>
          <w:rFonts w:ascii="Arial" w:hAnsi="Arial"/>
          <w:b/>
          <w:noProof/>
          <w:color w:val="000000" w:themeColor="text1"/>
          <w:spacing w:val="20"/>
          <w:sz w:val="16"/>
        </w:rPr>
        <w:t xml:space="preserve"> Ostberg 3   59229 Ahlen</w:t>
      </w:r>
    </w:p>
    <w:p w:rsidR="00297257" w:rsidRDefault="00297257" w:rsidP="00297257">
      <w:pPr>
        <w:framePr w:w="9979" w:h="4463" w:hRule="exact" w:hSpace="142" w:wrap="around" w:vAnchor="page" w:hAnchor="page" w:x="1522" w:y="365"/>
        <w:tabs>
          <w:tab w:val="left" w:pos="993"/>
        </w:tabs>
        <w:ind w:left="6381"/>
        <w:jc w:val="center"/>
        <w:rPr>
          <w:rFonts w:ascii="Arial" w:hAnsi="Arial"/>
          <w:b/>
          <w:noProof/>
          <w:color w:val="000000" w:themeColor="text1"/>
          <w:spacing w:val="20"/>
          <w:sz w:val="16"/>
        </w:rPr>
      </w:pPr>
      <w:r>
        <w:rPr>
          <w:rFonts w:ascii="Arial" w:hAnsi="Arial"/>
          <w:b/>
          <w:noProof/>
          <w:color w:val="000000" w:themeColor="text1"/>
          <w:spacing w:val="20"/>
          <w:sz w:val="16"/>
        </w:rPr>
        <w:t>Telefon:</w:t>
      </w:r>
      <w:r>
        <w:rPr>
          <w:rFonts w:ascii="Arial" w:hAnsi="Arial"/>
          <w:b/>
          <w:noProof/>
          <w:color w:val="000000" w:themeColor="text1"/>
          <w:spacing w:val="20"/>
          <w:sz w:val="16"/>
        </w:rPr>
        <w:tab/>
        <w:t>0 23 82 - 6646</w:t>
      </w:r>
    </w:p>
    <w:p w:rsidR="00297257" w:rsidRDefault="00695BC0" w:rsidP="00297257">
      <w:pPr>
        <w:framePr w:w="9979" w:h="4463" w:hRule="exact" w:hSpace="142" w:wrap="around" w:vAnchor="page" w:hAnchor="page" w:x="1522" w:y="365"/>
        <w:tabs>
          <w:tab w:val="left" w:pos="993"/>
        </w:tabs>
        <w:spacing w:after="240"/>
        <w:ind w:left="6379"/>
        <w:jc w:val="center"/>
        <w:rPr>
          <w:rFonts w:ascii="Arial" w:hAnsi="Arial"/>
          <w:b/>
          <w:noProof/>
          <w:color w:val="000000" w:themeColor="text1"/>
          <w:spacing w:val="20"/>
          <w:sz w:val="16"/>
        </w:rPr>
      </w:pPr>
      <w:r w:rsidRPr="00695BC0">
        <w:rPr>
          <w:noProof/>
          <w:sz w:val="16"/>
          <w:u w:val="single"/>
        </w:rPr>
        <w:pict>
          <v:rect id="_x0000_s1026" style="position:absolute;left:0;text-align:left;margin-left:377.25pt;margin-top:39.15pt;width:201.3pt;height:9.55pt;z-index:251657728" strokecolor="white" strokeweight="0">
            <v:textbox style="mso-next-textbox:#_x0000_s1026">
              <w:txbxContent>
                <w:p w:rsidR="00A6496B" w:rsidRPr="00A6496B" w:rsidRDefault="00C91324" w:rsidP="00757F7A">
                  <w:pPr>
                    <w:jc w:val="center"/>
                    <w:rPr>
                      <w:rFonts w:ascii="Arial" w:hAnsi="Arial"/>
                      <w:b/>
                      <w:sz w:val="14"/>
                      <w:szCs w:val="14"/>
                    </w:rPr>
                  </w:pPr>
                  <w:r w:rsidRPr="00DC465C">
                    <w:rPr>
                      <w:rFonts w:ascii="Arial" w:hAnsi="Arial" w:cs="Arial"/>
                      <w:b/>
                      <w:sz w:val="20"/>
                    </w:rPr>
                    <w:t xml:space="preserve">  </w:t>
                  </w:r>
                </w:p>
              </w:txbxContent>
            </v:textbox>
          </v:rect>
        </w:pict>
      </w:r>
      <w:r w:rsidR="00297257">
        <w:rPr>
          <w:rFonts w:ascii="Arial" w:hAnsi="Arial"/>
          <w:b/>
          <w:noProof/>
          <w:color w:val="1F497D" w:themeColor="dark2"/>
          <w:spacing w:val="20"/>
          <w:sz w:val="14"/>
          <w:szCs w:val="14"/>
        </w:rPr>
        <w:t xml:space="preserve">    </w:t>
      </w:r>
      <w:r w:rsidR="00297257">
        <w:rPr>
          <w:rFonts w:ascii="Arial" w:hAnsi="Arial"/>
          <w:b/>
          <w:noProof/>
          <w:color w:val="000000" w:themeColor="text1"/>
          <w:spacing w:val="20"/>
          <w:sz w:val="16"/>
        </w:rPr>
        <w:t>Telefax:</w:t>
      </w:r>
      <w:r w:rsidR="00297257">
        <w:rPr>
          <w:rFonts w:ascii="Arial" w:hAnsi="Arial"/>
          <w:b/>
          <w:noProof/>
          <w:color w:val="000000" w:themeColor="text1"/>
          <w:spacing w:val="20"/>
          <w:sz w:val="16"/>
        </w:rPr>
        <w:tab/>
        <w:t xml:space="preserve"> </w:t>
      </w:r>
      <w:r w:rsidR="00297257">
        <w:rPr>
          <w:rFonts w:ascii="Arial" w:hAnsi="Arial"/>
          <w:b/>
          <w:noProof/>
          <w:color w:val="000000" w:themeColor="text1"/>
          <w:spacing w:val="20"/>
          <w:sz w:val="8"/>
          <w:szCs w:val="8"/>
        </w:rPr>
        <w:t xml:space="preserve">    </w:t>
      </w:r>
      <w:r w:rsidR="00297257">
        <w:rPr>
          <w:rFonts w:ascii="Arial" w:hAnsi="Arial"/>
          <w:b/>
          <w:noProof/>
          <w:color w:val="000000" w:themeColor="text1"/>
          <w:spacing w:val="20"/>
          <w:sz w:val="16"/>
        </w:rPr>
        <w:t xml:space="preserve">0 23 82 - 768523                                                          </w:t>
      </w:r>
    </w:p>
    <w:p w:rsidR="000553A7" w:rsidRDefault="000553A7"/>
    <w:p w:rsidR="000553A7" w:rsidRDefault="000553A7"/>
    <w:p w:rsidR="0065560B" w:rsidRDefault="0065560B"/>
    <w:p w:rsidR="0065560B" w:rsidRDefault="0065560B" w:rsidP="00757F7A">
      <w:pPr>
        <w:tabs>
          <w:tab w:val="left" w:pos="7371"/>
        </w:tabs>
      </w:pPr>
    </w:p>
    <w:p w:rsidR="0065560B" w:rsidRDefault="0065560B">
      <w:pPr>
        <w:rPr>
          <w:u w:val="single"/>
        </w:rPr>
      </w:pPr>
    </w:p>
    <w:p w:rsidR="002D0712" w:rsidRPr="00920E98" w:rsidRDefault="002D0712" w:rsidP="002D0712">
      <w:pPr>
        <w:framePr w:w="2354" w:h="1492" w:hRule="exact" w:wrap="around" w:vAnchor="page" w:hAnchor="page" w:x="8871" w:y="5531"/>
        <w:shd w:val="pct20" w:color="auto" w:fill="auto"/>
        <w:rPr>
          <w:b/>
          <w:sz w:val="20"/>
        </w:rPr>
      </w:pPr>
      <w:r w:rsidRPr="00920E98">
        <w:rPr>
          <w:b/>
          <w:sz w:val="20"/>
        </w:rPr>
        <w:t>Bitte stets angeben:</w:t>
      </w:r>
    </w:p>
    <w:p w:rsidR="000553A7" w:rsidRDefault="000553A7" w:rsidP="000553A7">
      <w:pPr>
        <w:framePr w:w="2354" w:h="1492" w:hRule="exact" w:wrap="around" w:vAnchor="page" w:hAnchor="page" w:x="8871" w:y="5531"/>
        <w:shd w:val="pct20" w:color="auto" w:fill="auto"/>
        <w:rPr>
          <w:b/>
          <w:sz w:val="20"/>
        </w:rPr>
      </w:pPr>
    </w:p>
    <w:p w:rsidR="002D0712" w:rsidRPr="000553A7" w:rsidRDefault="000553A7" w:rsidP="000553A7">
      <w:pPr>
        <w:framePr w:w="2354" w:h="1492" w:hRule="exact" w:wrap="around" w:vAnchor="page" w:hAnchor="page" w:x="8871" w:y="5531"/>
        <w:shd w:val="pct20" w:color="auto" w:fill="auto"/>
        <w:rPr>
          <w:b/>
          <w:sz w:val="20"/>
        </w:rPr>
      </w:pPr>
      <w:r>
        <w:rPr>
          <w:b/>
          <w:sz w:val="20"/>
        </w:rPr>
        <w:t xml:space="preserve"> </w:t>
      </w:r>
    </w:p>
    <w:p w:rsidR="002D0712" w:rsidRPr="00920E98" w:rsidRDefault="002D0712" w:rsidP="002D0712">
      <w:pPr>
        <w:framePr w:w="2354" w:h="1492" w:hRule="exact" w:wrap="around" w:vAnchor="page" w:hAnchor="page" w:x="8871" w:y="5531"/>
        <w:rPr>
          <w:sz w:val="20"/>
        </w:rPr>
      </w:pPr>
    </w:p>
    <w:p w:rsidR="002D0712" w:rsidRPr="00664E34" w:rsidRDefault="002D0712" w:rsidP="002D0712">
      <w:pPr>
        <w:pStyle w:val="Fuzeile"/>
        <w:framePr w:w="2354" w:h="1492" w:hRule="exact" w:wrap="around" w:vAnchor="page" w:hAnchor="page" w:x="8871" w:y="5531"/>
        <w:tabs>
          <w:tab w:val="clear" w:pos="4819"/>
          <w:tab w:val="clear" w:pos="9071"/>
          <w:tab w:val="left" w:pos="426"/>
        </w:tabs>
        <w:rPr>
          <w:sz w:val="20"/>
        </w:rPr>
      </w:pPr>
      <w:r w:rsidRPr="00920E98">
        <w:rPr>
          <w:sz w:val="20"/>
        </w:rPr>
        <w:t>Ahlen</w:t>
      </w:r>
    </w:p>
    <w:p w:rsidR="0065560B" w:rsidRDefault="0065560B">
      <w:pPr>
        <w:rPr>
          <w:u w:val="single"/>
        </w:rPr>
      </w:pPr>
    </w:p>
    <w:p w:rsidR="000553A7" w:rsidRPr="00E83B63" w:rsidRDefault="000553A7" w:rsidP="00297257">
      <w:pPr>
        <w:rPr>
          <w:b/>
          <w:w w:val="110"/>
          <w:sz w:val="28"/>
          <w:szCs w:val="28"/>
        </w:rPr>
      </w:pPr>
      <w:bookmarkStart w:id="1" w:name="anfang"/>
      <w:bookmarkEnd w:id="0"/>
      <w:bookmarkEnd w:id="1"/>
      <w:r>
        <w:rPr>
          <w:b/>
          <w:w w:val="110"/>
          <w:sz w:val="28"/>
          <w:szCs w:val="28"/>
        </w:rPr>
        <w:t xml:space="preserve">                              </w:t>
      </w:r>
      <w:r w:rsidRPr="00E83B63">
        <w:rPr>
          <w:b/>
          <w:w w:val="110"/>
          <w:sz w:val="28"/>
          <w:szCs w:val="28"/>
        </w:rPr>
        <w:t>Informationsblatt für den Mandanten</w:t>
      </w:r>
    </w:p>
    <w:p w:rsidR="000553A7" w:rsidRPr="0000376A" w:rsidRDefault="000553A7" w:rsidP="00B51F49">
      <w:pPr>
        <w:spacing w:after="240"/>
        <w:jc w:val="center"/>
        <w:rPr>
          <w:sz w:val="20"/>
        </w:rPr>
      </w:pPr>
      <w:r w:rsidRPr="0000376A">
        <w:rPr>
          <w:sz w:val="20"/>
        </w:rPr>
        <w:t>bei Beauftragung von</w:t>
      </w:r>
    </w:p>
    <w:p w:rsidR="000553A7" w:rsidRPr="00DD77FF" w:rsidRDefault="000553A7" w:rsidP="00B51F49">
      <w:pPr>
        <w:spacing w:after="240"/>
        <w:jc w:val="center"/>
        <w:rPr>
          <w:b/>
          <w:color w:val="FF00FF"/>
        </w:rPr>
      </w:pPr>
      <w:r>
        <w:rPr>
          <w:b/>
        </w:rPr>
        <w:t>Anwaltskanzlei Dr. Schmelzer</w:t>
      </w:r>
      <w:r w:rsidRPr="00DD77FF">
        <w:rPr>
          <w:b/>
          <w:color w:val="FF00FF"/>
        </w:rPr>
        <w:t xml:space="preserve"> </w:t>
      </w:r>
      <w:r>
        <w:rPr>
          <w:b/>
        </w:rPr>
        <w:t>Ostberg 3</w:t>
      </w:r>
      <w:r w:rsidRPr="00DD77FF">
        <w:rPr>
          <w:b/>
        </w:rPr>
        <w:t>,</w:t>
      </w:r>
      <w:r w:rsidRPr="00DD77FF">
        <w:rPr>
          <w:b/>
          <w:color w:val="FF00FF"/>
        </w:rPr>
        <w:t xml:space="preserve">  </w:t>
      </w:r>
      <w:r>
        <w:rPr>
          <w:b/>
        </w:rPr>
        <w:t>59229 Ahlen</w:t>
      </w:r>
      <w:r w:rsidRPr="00DD77FF">
        <w:rPr>
          <w:b/>
          <w:color w:val="FF00FF"/>
        </w:rPr>
        <w:t xml:space="preserve">  </w:t>
      </w:r>
      <w:proofErr w:type="spellStart"/>
      <w:r>
        <w:rPr>
          <w:b/>
        </w:rPr>
        <w:t>Ahlen</w:t>
      </w:r>
      <w:proofErr w:type="spellEnd"/>
    </w:p>
    <w:p w:rsidR="000553A7" w:rsidRPr="0000376A" w:rsidRDefault="000553A7" w:rsidP="00B51F49">
      <w:pPr>
        <w:spacing w:after="240"/>
        <w:jc w:val="center"/>
        <w:rPr>
          <w:b/>
          <w:sz w:val="20"/>
        </w:rPr>
      </w:pPr>
      <w:r w:rsidRPr="0000376A">
        <w:rPr>
          <w:b/>
          <w:sz w:val="20"/>
        </w:rPr>
        <w:t>Allgemeines</w:t>
      </w:r>
    </w:p>
    <w:p w:rsidR="000553A7" w:rsidRPr="0000376A" w:rsidRDefault="000553A7" w:rsidP="000553A7">
      <w:pPr>
        <w:numPr>
          <w:ilvl w:val="0"/>
          <w:numId w:val="1"/>
        </w:numPr>
        <w:spacing w:after="240"/>
        <w:jc w:val="both"/>
        <w:rPr>
          <w:sz w:val="20"/>
        </w:rPr>
      </w:pPr>
      <w:r w:rsidRPr="0000376A">
        <w:rPr>
          <w:sz w:val="20"/>
        </w:rPr>
        <w:t>Die Gebühren, also auch der Honoraranspruch des Rechtsanwalts nach dem Rechtsanwaltsvergütungsgesetz, wird bereits mit Informationserteilung durch den Mandanten ausgelöst. Die Entstehung und die Höhe des Vergütungsanspruchs des Rechtsanwalts hängt nicht davon ab, ob die Tätigkeit des Rechtsanwalts für den Mandanten erfolgreich ist oder nicht, es sei denn, es sei dem Rechtsanwalt ein Fehler unterlaufen, wofür di</w:t>
      </w:r>
      <w:r w:rsidRPr="0000376A">
        <w:rPr>
          <w:sz w:val="20"/>
        </w:rPr>
        <w:t>e</w:t>
      </w:r>
      <w:r w:rsidRPr="0000376A">
        <w:rPr>
          <w:sz w:val="20"/>
        </w:rPr>
        <w:t>ser haftbar gemacht werden kann. Grundsätzlich schuldet der Anwalt keinen Erfolg, sondern lediglich die Erbringung einer Dienstleistung.</w:t>
      </w:r>
    </w:p>
    <w:p w:rsidR="000553A7" w:rsidRPr="0000376A" w:rsidRDefault="000553A7" w:rsidP="000553A7">
      <w:pPr>
        <w:numPr>
          <w:ilvl w:val="0"/>
          <w:numId w:val="2"/>
        </w:numPr>
        <w:spacing w:after="240"/>
        <w:jc w:val="both"/>
        <w:rPr>
          <w:sz w:val="20"/>
        </w:rPr>
      </w:pPr>
      <w:r w:rsidRPr="0000376A">
        <w:rPr>
          <w:sz w:val="20"/>
        </w:rPr>
        <w:t>Inhalt und Umfang des dem Rechtsanwalt erteilten Mandats ergeben sich aus der Vollmacht und ggf. den hierzu erteilten Aufträgen. Der Rechtsanwalt ist von allen wesentlichen Gesichtspunkten umfassend zu unte</w:t>
      </w:r>
      <w:r w:rsidRPr="0000376A">
        <w:rPr>
          <w:sz w:val="20"/>
        </w:rPr>
        <w:t>r</w:t>
      </w:r>
      <w:r w:rsidRPr="0000376A">
        <w:rPr>
          <w:sz w:val="20"/>
        </w:rPr>
        <w:t>richten.</w:t>
      </w:r>
    </w:p>
    <w:p w:rsidR="000553A7" w:rsidRPr="0000376A" w:rsidRDefault="000553A7" w:rsidP="000553A7">
      <w:pPr>
        <w:numPr>
          <w:ilvl w:val="0"/>
          <w:numId w:val="14"/>
        </w:numPr>
        <w:spacing w:after="240"/>
        <w:jc w:val="both"/>
        <w:rPr>
          <w:sz w:val="20"/>
        </w:rPr>
      </w:pPr>
      <w:r w:rsidRPr="0000376A">
        <w:rPr>
          <w:sz w:val="20"/>
        </w:rPr>
        <w:t>Der Rechtsanwalt ist zur Erhebung der Klage und zur Einlegung von Rechtsmitteln und Rechtsbehelfen nur dann verpflichtet, wenn er einen darauf gerichteten Auftrag erhalten und angenommen hat. Sofern sich der Mandant auf eine entsprechende Anfrage des Rechtsanwaltes nicht meldet, bleibt der Rechtsanwalt untätig. Der Mandant ist darüber informiert, dass er im Falle einer ausbleibenden Beauftragung zur Erhebung der Kl</w:t>
      </w:r>
      <w:r w:rsidRPr="0000376A">
        <w:rPr>
          <w:sz w:val="20"/>
        </w:rPr>
        <w:t>a</w:t>
      </w:r>
      <w:r w:rsidRPr="0000376A">
        <w:rPr>
          <w:sz w:val="20"/>
        </w:rPr>
        <w:t>ge und zur Einlegung von Rechtsmitteln und Rechtsbehelfen, mit erheblichen Rechtsnachteilen zu rechnen hat.</w:t>
      </w:r>
    </w:p>
    <w:p w:rsidR="000553A7" w:rsidRPr="0000376A" w:rsidRDefault="000553A7" w:rsidP="00B51F49">
      <w:pPr>
        <w:spacing w:after="240"/>
        <w:jc w:val="center"/>
        <w:rPr>
          <w:b/>
          <w:sz w:val="20"/>
        </w:rPr>
      </w:pPr>
      <w:r w:rsidRPr="0000376A">
        <w:rPr>
          <w:b/>
          <w:sz w:val="20"/>
        </w:rPr>
        <w:t>Gebühren</w:t>
      </w:r>
    </w:p>
    <w:p w:rsidR="000553A7" w:rsidRPr="0000376A" w:rsidRDefault="000553A7" w:rsidP="000553A7">
      <w:pPr>
        <w:numPr>
          <w:ilvl w:val="0"/>
          <w:numId w:val="3"/>
        </w:numPr>
        <w:spacing w:after="240"/>
        <w:jc w:val="both"/>
        <w:rPr>
          <w:sz w:val="20"/>
        </w:rPr>
      </w:pPr>
      <w:r w:rsidRPr="0000376A">
        <w:rPr>
          <w:sz w:val="20"/>
        </w:rPr>
        <w:t>Gemäß § 9 RVG ist der Rechtsanwalt berechtigt, für die entstandenen und voraussichtlich noch zu entstehe</w:t>
      </w:r>
      <w:r w:rsidRPr="0000376A">
        <w:rPr>
          <w:sz w:val="20"/>
        </w:rPr>
        <w:t>n</w:t>
      </w:r>
      <w:r w:rsidRPr="0000376A">
        <w:rPr>
          <w:sz w:val="20"/>
        </w:rPr>
        <w:t>den Gebühren und Auslagen einen angemessenen Vorschuss zu fordern. Wird eine erteilte Vorschussrec</w:t>
      </w:r>
      <w:r w:rsidRPr="0000376A">
        <w:rPr>
          <w:sz w:val="20"/>
        </w:rPr>
        <w:t>h</w:t>
      </w:r>
      <w:r w:rsidRPr="0000376A">
        <w:rPr>
          <w:sz w:val="20"/>
        </w:rPr>
        <w:t>nung nicht ausgeglichen, ist der Rechtsanwalt berechtigt, nach vorheriger Androhung weitere Leistungen a</w:t>
      </w:r>
      <w:r w:rsidRPr="0000376A">
        <w:rPr>
          <w:sz w:val="20"/>
        </w:rPr>
        <w:t>b</w:t>
      </w:r>
      <w:r w:rsidRPr="0000376A">
        <w:rPr>
          <w:sz w:val="20"/>
        </w:rPr>
        <w:t>zulehnen und das Mandat fristlos zu kündigen.</w:t>
      </w:r>
    </w:p>
    <w:p w:rsidR="000553A7" w:rsidRPr="0000376A" w:rsidRDefault="000553A7" w:rsidP="000553A7">
      <w:pPr>
        <w:numPr>
          <w:ilvl w:val="0"/>
          <w:numId w:val="4"/>
        </w:numPr>
        <w:spacing w:after="240"/>
        <w:jc w:val="both"/>
        <w:rPr>
          <w:sz w:val="20"/>
        </w:rPr>
      </w:pPr>
      <w:r w:rsidRPr="0000376A">
        <w:rPr>
          <w:sz w:val="20"/>
        </w:rPr>
        <w:t xml:space="preserve">Anwaltliche Gebühren, die sich nach dem Gegenstandswert richten, erhöhen sich bei höheren Werten nach der gesetzlichen Regelung in § 13 RVG. Der Mandant hat die für die Bearbeitung des Mandats benötigten Schreiben und Unterlagen mit den erforderlichen Kopien zur Verfügung zu stellen. Die Notwendigkeit der </w:t>
      </w:r>
      <w:r w:rsidRPr="0000376A">
        <w:rPr>
          <w:sz w:val="20"/>
        </w:rPr>
        <w:lastRenderedPageBreak/>
        <w:t>Anfertigung von  - vom Mandant zu vergütenden - Fotokopien und Abschriften liegt im Ermessen des Recht</w:t>
      </w:r>
      <w:r w:rsidRPr="0000376A">
        <w:rPr>
          <w:sz w:val="20"/>
        </w:rPr>
        <w:t>s</w:t>
      </w:r>
      <w:r w:rsidRPr="0000376A">
        <w:rPr>
          <w:sz w:val="20"/>
        </w:rPr>
        <w:t>anwalts.</w:t>
      </w:r>
    </w:p>
    <w:p w:rsidR="000553A7" w:rsidRPr="0000376A" w:rsidRDefault="000553A7" w:rsidP="00B51F49">
      <w:pPr>
        <w:spacing w:after="240"/>
        <w:jc w:val="center"/>
        <w:rPr>
          <w:b/>
          <w:sz w:val="20"/>
        </w:rPr>
      </w:pPr>
      <w:r w:rsidRPr="0000376A">
        <w:rPr>
          <w:b/>
          <w:sz w:val="20"/>
        </w:rPr>
        <w:t>Rechtschutzversicherung</w:t>
      </w:r>
    </w:p>
    <w:p w:rsidR="000553A7" w:rsidRPr="0000376A" w:rsidRDefault="000553A7" w:rsidP="000553A7">
      <w:pPr>
        <w:numPr>
          <w:ilvl w:val="0"/>
          <w:numId w:val="5"/>
        </w:numPr>
        <w:spacing w:after="240"/>
        <w:jc w:val="both"/>
        <w:rPr>
          <w:sz w:val="20"/>
        </w:rPr>
      </w:pPr>
      <w:r w:rsidRPr="0000376A">
        <w:rPr>
          <w:sz w:val="20"/>
        </w:rPr>
        <w:t>Sofern der Mandant eine Rechtschutzversicherung abgeschlossen hat, richtet sich der Erstattungsanspruch in Bezug auf das anwaltliche Honorar ausschließlich nach den Vereinbarungen zwischen dem Mandanten und dem Rechtschutzversicherer, also dem Versicherungsvertrag. Grundsätzlich ist der Mandant verpflichtet das gesetzlich geregelte oder vereinbarte Honorar aus dem Vertrag mit dem Anwalt diesem zu zahlen, unabhängig davon, ob und in welcher Höhe die Rechtschutzversicherung ihm hierauf Honorarbeträge erstattet.</w:t>
      </w:r>
    </w:p>
    <w:p w:rsidR="000553A7" w:rsidRPr="0000376A" w:rsidRDefault="000553A7" w:rsidP="000553A7">
      <w:pPr>
        <w:numPr>
          <w:ilvl w:val="0"/>
          <w:numId w:val="6"/>
        </w:numPr>
        <w:spacing w:after="240"/>
        <w:jc w:val="both"/>
        <w:rPr>
          <w:sz w:val="20"/>
        </w:rPr>
      </w:pPr>
      <w:r w:rsidRPr="0000376A">
        <w:rPr>
          <w:sz w:val="20"/>
        </w:rPr>
        <w:t>Die Rechtsschutzversicherer nicht verpflichtet alle Gebühren des anwaltlichen Honorars zu erstatten. Dies richtet sich nach Versicherungsvertrag zwischen dem Mandanten und seinem Rechtsschutzversicherer. Dies gilt insbesondere für zwischen dem Mandanten und dem Rechtsanwalt geschlossene Vergütungsvereinbaru</w:t>
      </w:r>
      <w:r w:rsidRPr="0000376A">
        <w:rPr>
          <w:sz w:val="20"/>
        </w:rPr>
        <w:t>n</w:t>
      </w:r>
      <w:r w:rsidRPr="0000376A">
        <w:rPr>
          <w:sz w:val="20"/>
        </w:rPr>
        <w:t>gen, die die gesetzlichen Gebühren übersteigen. So werden von den Rechtschutzversicherungen z.B. grun</w:t>
      </w:r>
      <w:r w:rsidRPr="0000376A">
        <w:rPr>
          <w:sz w:val="20"/>
        </w:rPr>
        <w:t>d</w:t>
      </w:r>
      <w:r w:rsidRPr="0000376A">
        <w:rPr>
          <w:sz w:val="20"/>
        </w:rPr>
        <w:t xml:space="preserve">sätzlich keine Fahrtkosten und Abwesenheitsgelder für Dienstreisen des Rechtsanwalts (z.B. zum auswärtigen Gericht oder zu Ortsterminen) übernommen oder lediglich die Kosten für drei Zwangsvollstreckungsversuche erstattet. </w:t>
      </w:r>
    </w:p>
    <w:p w:rsidR="000553A7" w:rsidRPr="0000376A" w:rsidRDefault="000553A7" w:rsidP="000553A7">
      <w:pPr>
        <w:numPr>
          <w:ilvl w:val="0"/>
          <w:numId w:val="8"/>
        </w:numPr>
        <w:spacing w:after="240"/>
        <w:jc w:val="both"/>
        <w:rPr>
          <w:sz w:val="20"/>
        </w:rPr>
      </w:pPr>
      <w:r w:rsidRPr="0000376A">
        <w:rPr>
          <w:sz w:val="20"/>
        </w:rPr>
        <w:t>Eine vereinbarte Selbstbeteiligung ist auf jeden Fall vom Mandanten selbst zu tragen.</w:t>
      </w:r>
    </w:p>
    <w:p w:rsidR="000553A7" w:rsidRPr="0000376A" w:rsidRDefault="000553A7" w:rsidP="000553A7">
      <w:pPr>
        <w:numPr>
          <w:ilvl w:val="0"/>
          <w:numId w:val="7"/>
        </w:numPr>
        <w:spacing w:after="240"/>
        <w:jc w:val="both"/>
        <w:rPr>
          <w:sz w:val="20"/>
        </w:rPr>
      </w:pPr>
      <w:r w:rsidRPr="0000376A">
        <w:rPr>
          <w:sz w:val="20"/>
        </w:rPr>
        <w:t>Der Mandant bleibt auch im Falle der nachträglichen Rücknahme der Deckungszusage durch die Recht</w:t>
      </w:r>
      <w:r w:rsidRPr="0000376A">
        <w:rPr>
          <w:sz w:val="20"/>
        </w:rPr>
        <w:t>s</w:t>
      </w:r>
      <w:r w:rsidRPr="0000376A">
        <w:rPr>
          <w:sz w:val="20"/>
        </w:rPr>
        <w:t xml:space="preserve">schutzversicherung verpflichtet, sämtliche Gebühren des Rechtsanwalts zu zahlen. </w:t>
      </w:r>
    </w:p>
    <w:p w:rsidR="000553A7" w:rsidRPr="0000376A" w:rsidRDefault="000553A7" w:rsidP="000553A7">
      <w:pPr>
        <w:numPr>
          <w:ilvl w:val="0"/>
          <w:numId w:val="9"/>
        </w:numPr>
        <w:spacing w:after="240"/>
        <w:jc w:val="both"/>
        <w:rPr>
          <w:sz w:val="20"/>
        </w:rPr>
      </w:pPr>
      <w:r w:rsidRPr="0000376A">
        <w:rPr>
          <w:sz w:val="20"/>
        </w:rPr>
        <w:t>Wird nur ein Teil der Gebühren von der Rechtsschutzversicherung erstattet und besteht Streit darüber, ob die Rechtsschutzversicherung verpflichtet ist, diesen Teil auch zu tragen, ist der Mandant verpflichtet, den streit</w:t>
      </w:r>
      <w:r w:rsidRPr="0000376A">
        <w:rPr>
          <w:sz w:val="20"/>
        </w:rPr>
        <w:t>i</w:t>
      </w:r>
      <w:r w:rsidRPr="0000376A">
        <w:rPr>
          <w:sz w:val="20"/>
        </w:rPr>
        <w:t>gen Teil zunächst dem Rechtsanwalt gegenüber auszugleichen. Dieser Anspruch des Rechtsanwaltes gegen den Mandanten ist unabhängig davon, ob der Rechtsanwalt durch den Mandanten Beauftragung zur Führung einer Klage gegen den Rechtsschutzversicherer erhalten hat oder nicht.</w:t>
      </w:r>
    </w:p>
    <w:p w:rsidR="000553A7" w:rsidRPr="0000376A" w:rsidRDefault="000553A7" w:rsidP="00B51F49">
      <w:pPr>
        <w:spacing w:after="240"/>
        <w:jc w:val="center"/>
        <w:rPr>
          <w:b/>
          <w:sz w:val="20"/>
        </w:rPr>
      </w:pPr>
      <w:r w:rsidRPr="0000376A">
        <w:rPr>
          <w:b/>
          <w:sz w:val="20"/>
        </w:rPr>
        <w:t>Geringes Einkommen</w:t>
      </w:r>
    </w:p>
    <w:p w:rsidR="000553A7" w:rsidRPr="0000376A" w:rsidRDefault="000553A7" w:rsidP="000553A7">
      <w:pPr>
        <w:numPr>
          <w:ilvl w:val="0"/>
          <w:numId w:val="10"/>
        </w:numPr>
        <w:spacing w:after="240"/>
        <w:jc w:val="both"/>
        <w:rPr>
          <w:sz w:val="20"/>
        </w:rPr>
      </w:pPr>
      <w:r w:rsidRPr="0000376A">
        <w:rPr>
          <w:sz w:val="20"/>
        </w:rPr>
        <w:t>Der Mandant ist bereits bei Beauftragung des Rechtsanwaltes verpflichtet, diesen zu informieren, sofern er hinsichtlich seines geringen Einkommens und Vermögens nicht in der Lage ist, die voraussichtlich entstehe</w:t>
      </w:r>
      <w:r w:rsidRPr="0000376A">
        <w:rPr>
          <w:sz w:val="20"/>
        </w:rPr>
        <w:t>n</w:t>
      </w:r>
      <w:r w:rsidRPr="0000376A">
        <w:rPr>
          <w:sz w:val="20"/>
        </w:rPr>
        <w:t>den Anwaltsgebühren selbst zu tragen. Tritt dieser Fall während der Tätigkeit des Rechtsanwaltes ein, hat der Mandant dies seinem Anwalt unverzüglich mitzuteilen. Dieser wird dann prüfen, ob dem Mandanten die Rechte aus der Beratungshilfe oder Prozesskostenhilfe zustehen. Liegen die Voraussetzungen hierzu nicht vor, ist der Mandant nach wie vor verpflichtet, die entstehenden und bereits entstandenen Anwaltsgebühren zu tr</w:t>
      </w:r>
      <w:r w:rsidRPr="0000376A">
        <w:rPr>
          <w:sz w:val="20"/>
        </w:rPr>
        <w:t>a</w:t>
      </w:r>
      <w:r w:rsidRPr="0000376A">
        <w:rPr>
          <w:sz w:val="20"/>
        </w:rPr>
        <w:t>gen.</w:t>
      </w:r>
    </w:p>
    <w:p w:rsidR="000553A7" w:rsidRPr="0000376A" w:rsidRDefault="000553A7" w:rsidP="000553A7">
      <w:pPr>
        <w:numPr>
          <w:ilvl w:val="0"/>
          <w:numId w:val="11"/>
        </w:numPr>
        <w:spacing w:after="240"/>
        <w:jc w:val="both"/>
        <w:rPr>
          <w:sz w:val="20"/>
        </w:rPr>
      </w:pPr>
      <w:r w:rsidRPr="0000376A">
        <w:rPr>
          <w:sz w:val="20"/>
        </w:rPr>
        <w:t>Reicht der Mandant im Falle der Beauftragung mit der Erhebung einer Klage oder im Falle der Rechtsverte</w:t>
      </w:r>
      <w:r w:rsidRPr="0000376A">
        <w:rPr>
          <w:sz w:val="20"/>
        </w:rPr>
        <w:t>i</w:t>
      </w:r>
      <w:r w:rsidRPr="0000376A">
        <w:rPr>
          <w:sz w:val="20"/>
        </w:rPr>
        <w:t>digung im Wege der Prozesskostenhilfe, die Erklärung über die persönlichen und wirtschaftlichen Verhältni</w:t>
      </w:r>
      <w:r w:rsidRPr="0000376A">
        <w:rPr>
          <w:sz w:val="20"/>
        </w:rPr>
        <w:t>s</w:t>
      </w:r>
      <w:r w:rsidRPr="0000376A">
        <w:rPr>
          <w:sz w:val="20"/>
        </w:rPr>
        <w:t>se nicht rechtzeitig vor Abschluss der Instanz oder bei vorgeschaltetem Prozesskostenhilfeverfahren bei Bea</w:t>
      </w:r>
      <w:r w:rsidRPr="0000376A">
        <w:rPr>
          <w:sz w:val="20"/>
        </w:rPr>
        <w:t>n</w:t>
      </w:r>
      <w:r w:rsidRPr="0000376A">
        <w:rPr>
          <w:sz w:val="20"/>
        </w:rPr>
        <w:t>tragung desselben ein, so ist der Mandant verpflichtet, die Anwaltsgebühren selbst zu tragen.</w:t>
      </w:r>
    </w:p>
    <w:p w:rsidR="000553A7" w:rsidRPr="0000376A" w:rsidRDefault="000553A7" w:rsidP="000553A7">
      <w:pPr>
        <w:numPr>
          <w:ilvl w:val="0"/>
          <w:numId w:val="12"/>
        </w:numPr>
        <w:spacing w:after="240"/>
        <w:jc w:val="both"/>
        <w:rPr>
          <w:sz w:val="20"/>
        </w:rPr>
      </w:pPr>
      <w:r w:rsidRPr="0000376A">
        <w:rPr>
          <w:sz w:val="20"/>
        </w:rPr>
        <w:t>Wird die Gewährung von Prozesskostenhilfe versagt, ist der Mandant ebenfalls verpflichtet, die Anwaltsg</w:t>
      </w:r>
      <w:r w:rsidRPr="0000376A">
        <w:rPr>
          <w:sz w:val="20"/>
        </w:rPr>
        <w:t>e</w:t>
      </w:r>
      <w:r w:rsidRPr="0000376A">
        <w:rPr>
          <w:sz w:val="20"/>
        </w:rPr>
        <w:t>bühren selbst zu tragen.</w:t>
      </w:r>
    </w:p>
    <w:p w:rsidR="000553A7" w:rsidRPr="0000376A" w:rsidRDefault="000553A7" w:rsidP="000553A7">
      <w:pPr>
        <w:numPr>
          <w:ilvl w:val="0"/>
          <w:numId w:val="13"/>
        </w:numPr>
        <w:spacing w:after="240"/>
        <w:jc w:val="both"/>
        <w:rPr>
          <w:sz w:val="20"/>
        </w:rPr>
      </w:pPr>
      <w:r w:rsidRPr="0000376A">
        <w:rPr>
          <w:sz w:val="20"/>
        </w:rPr>
        <w:t>Auch bei Bewilligung von Prozesskostenhilfe hat der Mandant im Falle des Unterliegens die Kosten der G</w:t>
      </w:r>
      <w:r w:rsidRPr="0000376A">
        <w:rPr>
          <w:sz w:val="20"/>
        </w:rPr>
        <w:t>e</w:t>
      </w:r>
      <w:r w:rsidRPr="0000376A">
        <w:rPr>
          <w:sz w:val="20"/>
        </w:rPr>
        <w:t>genseite zu tragen.</w:t>
      </w:r>
    </w:p>
    <w:p w:rsidR="000553A7" w:rsidRPr="0000376A" w:rsidRDefault="000553A7" w:rsidP="000553A7">
      <w:pPr>
        <w:numPr>
          <w:ilvl w:val="0"/>
          <w:numId w:val="13"/>
        </w:numPr>
        <w:spacing w:after="240"/>
        <w:jc w:val="both"/>
        <w:rPr>
          <w:sz w:val="20"/>
        </w:rPr>
      </w:pPr>
      <w:r w:rsidRPr="0000376A">
        <w:rPr>
          <w:sz w:val="20"/>
        </w:rPr>
        <w:t>Der Mandant wird darauf ausdrücklich darauf hingewiesen, dass er sich unter Umständen sogar strafbar macht, wenn er in der Erklärung über seine persönlichen und wirtschaftlichen Verhältnisse unvollständige oder falsche Angaben macht.</w:t>
      </w:r>
    </w:p>
    <w:p w:rsidR="000553A7" w:rsidRPr="0000376A" w:rsidRDefault="000553A7" w:rsidP="00B51F49">
      <w:pPr>
        <w:jc w:val="center"/>
        <w:rPr>
          <w:b/>
          <w:sz w:val="20"/>
        </w:rPr>
      </w:pPr>
      <w:r w:rsidRPr="0000376A">
        <w:rPr>
          <w:b/>
          <w:sz w:val="20"/>
        </w:rPr>
        <w:t>Auslagen</w:t>
      </w:r>
    </w:p>
    <w:p w:rsidR="000553A7" w:rsidRPr="0000376A" w:rsidRDefault="000553A7" w:rsidP="00B51F49">
      <w:pPr>
        <w:rPr>
          <w:sz w:val="20"/>
        </w:rPr>
      </w:pPr>
    </w:p>
    <w:p w:rsidR="000553A7" w:rsidRPr="0000376A" w:rsidRDefault="000553A7" w:rsidP="000553A7">
      <w:pPr>
        <w:numPr>
          <w:ilvl w:val="0"/>
          <w:numId w:val="14"/>
        </w:numPr>
        <w:spacing w:after="240"/>
        <w:jc w:val="both"/>
        <w:rPr>
          <w:sz w:val="20"/>
        </w:rPr>
      </w:pPr>
      <w:r w:rsidRPr="0000376A">
        <w:rPr>
          <w:sz w:val="20"/>
        </w:rPr>
        <w:t>Gemäß § 9 RVG ist der Rechtsanwalt berechtigt, für die bereits entstandenen und voraussichtlich noch entst</w:t>
      </w:r>
      <w:r w:rsidRPr="0000376A">
        <w:rPr>
          <w:sz w:val="20"/>
        </w:rPr>
        <w:t>e</w:t>
      </w:r>
      <w:r w:rsidRPr="0000376A">
        <w:rPr>
          <w:sz w:val="20"/>
        </w:rPr>
        <w:t>henden Gebühren und Auslagen einen angemessenen Vorschuss zu fordern. Wird eine durch den Rechtsa</w:t>
      </w:r>
      <w:r w:rsidRPr="0000376A">
        <w:rPr>
          <w:sz w:val="20"/>
        </w:rPr>
        <w:t>n</w:t>
      </w:r>
      <w:r w:rsidRPr="0000376A">
        <w:rPr>
          <w:sz w:val="20"/>
        </w:rPr>
        <w:lastRenderedPageBreak/>
        <w:t>walt erteilte und bereits fällige Vorschusskostenrechnung nicht ausgeglichen, ist der Rechtsanwalt berechtigt, nach vorheriger Androhung weitere Leistungen abzulehnen und sogar das Mandat fristlos zu kündigen.</w:t>
      </w:r>
    </w:p>
    <w:p w:rsidR="000553A7" w:rsidRPr="0000376A" w:rsidRDefault="000553A7" w:rsidP="000553A7">
      <w:pPr>
        <w:numPr>
          <w:ilvl w:val="0"/>
          <w:numId w:val="14"/>
        </w:numPr>
        <w:spacing w:after="240"/>
        <w:jc w:val="both"/>
        <w:rPr>
          <w:sz w:val="20"/>
        </w:rPr>
      </w:pPr>
      <w:r w:rsidRPr="0000376A">
        <w:rPr>
          <w:sz w:val="20"/>
        </w:rPr>
        <w:t>Die Notwendigkeit der Anfertigung von Fotokopien und Abschriften liegt im Ermessen des Rechtsanwalts.</w:t>
      </w:r>
    </w:p>
    <w:p w:rsidR="000553A7" w:rsidRPr="0000376A" w:rsidRDefault="000553A7" w:rsidP="0087727D">
      <w:pPr>
        <w:spacing w:after="240"/>
        <w:jc w:val="center"/>
        <w:rPr>
          <w:b/>
          <w:sz w:val="20"/>
        </w:rPr>
      </w:pPr>
      <w:r w:rsidRPr="0000376A">
        <w:rPr>
          <w:b/>
          <w:sz w:val="20"/>
        </w:rPr>
        <w:t>Besondere Hinweise</w:t>
      </w:r>
    </w:p>
    <w:p w:rsidR="000553A7" w:rsidRPr="0000376A" w:rsidRDefault="000553A7" w:rsidP="000553A7">
      <w:pPr>
        <w:numPr>
          <w:ilvl w:val="0"/>
          <w:numId w:val="14"/>
        </w:numPr>
        <w:spacing w:after="240"/>
        <w:jc w:val="both"/>
        <w:rPr>
          <w:sz w:val="20"/>
        </w:rPr>
      </w:pPr>
      <w:r w:rsidRPr="0000376A">
        <w:rPr>
          <w:sz w:val="20"/>
        </w:rPr>
        <w:t>Der Mandant ist darauf hingewiesen worden, dass kein Kostenerstattungsanspruch in Arbeitsgerichtssachen in 1. Instanz, auch im Falle des Obsiegens besteht.</w:t>
      </w:r>
    </w:p>
    <w:p w:rsidR="000553A7" w:rsidRPr="0000376A" w:rsidRDefault="000553A7" w:rsidP="000553A7">
      <w:pPr>
        <w:numPr>
          <w:ilvl w:val="0"/>
          <w:numId w:val="14"/>
        </w:numPr>
        <w:spacing w:after="240"/>
        <w:jc w:val="both"/>
        <w:rPr>
          <w:sz w:val="20"/>
        </w:rPr>
      </w:pPr>
      <w:r w:rsidRPr="0000376A">
        <w:rPr>
          <w:sz w:val="20"/>
        </w:rPr>
        <w:t>Der Rechtsanwalt korrespondiert mit ausländischen Auftraggebern in Deutsch. Etwaige Kosten für Überse</w:t>
      </w:r>
      <w:r w:rsidRPr="0000376A">
        <w:rPr>
          <w:sz w:val="20"/>
        </w:rPr>
        <w:t>t</w:t>
      </w:r>
      <w:r w:rsidRPr="0000376A">
        <w:rPr>
          <w:sz w:val="20"/>
        </w:rPr>
        <w:t>zungen sind vom Mandanten zu erstatten. Der Rechtsanwalt haftet nicht für Übersetzungsfehler. Die Haftung des beauftragten Rechtsanwalts oder seiner Erfüllungsgehilfen für Vorsatz oder grobe Fahrlässigkeit bleibt hiervon unberührt.</w:t>
      </w:r>
    </w:p>
    <w:p w:rsidR="000553A7" w:rsidRPr="0000376A" w:rsidRDefault="000553A7" w:rsidP="000553A7">
      <w:pPr>
        <w:numPr>
          <w:ilvl w:val="0"/>
          <w:numId w:val="14"/>
        </w:numPr>
        <w:spacing w:after="240"/>
        <w:jc w:val="both"/>
        <w:rPr>
          <w:sz w:val="20"/>
        </w:rPr>
      </w:pPr>
      <w:r w:rsidRPr="0000376A">
        <w:rPr>
          <w:sz w:val="20"/>
        </w:rPr>
        <w:t>Telefonische Auskünfte und Erklärungen des Rechtsanwalts sind nur bei schriftlicher Bestätigung durch den Mandanten verbindlich.</w:t>
      </w:r>
    </w:p>
    <w:p w:rsidR="000553A7" w:rsidRPr="0000376A" w:rsidRDefault="000553A7" w:rsidP="000553A7">
      <w:pPr>
        <w:numPr>
          <w:ilvl w:val="0"/>
          <w:numId w:val="15"/>
        </w:numPr>
        <w:spacing w:after="240"/>
        <w:jc w:val="both"/>
        <w:rPr>
          <w:sz w:val="20"/>
        </w:rPr>
      </w:pPr>
      <w:r w:rsidRPr="0000376A">
        <w:rPr>
          <w:sz w:val="20"/>
        </w:rPr>
        <w:t>Die Verpflichtung zur Aufbewahrung und Herausgabe von Handakten des beauftragten Rechtsanwalts erlischt zwei Jahre nach Beendigung des Auftrages.</w:t>
      </w:r>
    </w:p>
    <w:p w:rsidR="0065560B" w:rsidRDefault="0065560B"/>
    <w:sectPr w:rsidR="0065560B" w:rsidSect="00E30FA2">
      <w:headerReference w:type="even" r:id="rId9"/>
      <w:headerReference w:type="default" r:id="rId10"/>
      <w:footerReference w:type="even" r:id="rId11"/>
      <w:footerReference w:type="default" r:id="rId12"/>
      <w:headerReference w:type="first" r:id="rId13"/>
      <w:footerReference w:type="first" r:id="rId14"/>
      <w:pgSz w:w="11901" w:h="16834" w:code="9"/>
      <w:pgMar w:top="1701" w:right="851" w:bottom="1134" w:left="1474" w:header="851" w:footer="397" w:gutter="0"/>
      <w:paperSrc w:first="260" w:other="25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96" w:rsidRDefault="00574296">
      <w:r>
        <w:separator/>
      </w:r>
    </w:p>
  </w:endnote>
  <w:endnote w:type="continuationSeparator" w:id="1">
    <w:p w:rsidR="00574296" w:rsidRDefault="00574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B" w:rsidRDefault="0065560B">
    <w:pPr>
      <w:pStyle w:val="Fuzeile1"/>
      <w:pBdr>
        <w:top w:val="single" w:sz="6" w:space="1" w:color="auto"/>
      </w:pBdr>
      <w:jc w:val="center"/>
      <w:rPr>
        <w:rFonts w:ascii="Times New Roman" w:hAnsi="Times New Roman"/>
      </w:rPr>
    </w:pPr>
    <w:r>
      <w:rPr>
        <w:rFonts w:ascii="Times New Roman" w:hAnsi="Times New Roman"/>
      </w:rPr>
      <w:t xml:space="preserve">Seite </w:t>
    </w:r>
    <w:r w:rsidR="00695BC0">
      <w:rPr>
        <w:rStyle w:val="Seitenzahl"/>
        <w:rFonts w:ascii="Times New Roman" w:hAnsi="Times New Roman"/>
      </w:rPr>
      <w:fldChar w:fldCharType="begin"/>
    </w:r>
    <w:r>
      <w:rPr>
        <w:rStyle w:val="Seitenzahl"/>
        <w:rFonts w:ascii="Times New Roman" w:hAnsi="Times New Roman"/>
      </w:rPr>
      <w:instrText xml:space="preserve"> PAGE </w:instrText>
    </w:r>
    <w:r w:rsidR="00695BC0">
      <w:rPr>
        <w:rStyle w:val="Seitenzahl"/>
        <w:rFonts w:ascii="Times New Roman" w:hAnsi="Times New Roman"/>
      </w:rPr>
      <w:fldChar w:fldCharType="separate"/>
    </w:r>
    <w:r w:rsidR="00DD60E4">
      <w:rPr>
        <w:rStyle w:val="Seitenzahl"/>
        <w:rFonts w:ascii="Times New Roman" w:hAnsi="Times New Roman"/>
        <w:noProof/>
      </w:rPr>
      <w:t>3</w:t>
    </w:r>
    <w:r w:rsidR="00695BC0">
      <w:rPr>
        <w:rStyle w:val="Seitenzahl"/>
        <w:rFonts w:ascii="Times New Roman" w:hAnsi="Times New Roman"/>
      </w:rPr>
      <w:fldChar w:fldCharType="end"/>
    </w:r>
    <w:r>
      <w:rPr>
        <w:rStyle w:val="Seitenzahl"/>
        <w:rFonts w:ascii="Times New Roman" w:hAnsi="Times New Roman"/>
      </w:rPr>
      <w:t xml:space="preserve"> von insgesamt </w:t>
    </w:r>
    <w:fldSimple w:instr=" NUMPAGES  \* MERGEFORMAT ">
      <w:r w:rsidR="00DD60E4" w:rsidRPr="00DD60E4">
        <w:rPr>
          <w:rStyle w:val="Seitenzahl"/>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96" w:rsidRDefault="00574296">
      <w:r>
        <w:separator/>
      </w:r>
    </w:p>
  </w:footnote>
  <w:footnote w:type="continuationSeparator" w:id="1">
    <w:p w:rsidR="00574296" w:rsidRDefault="00574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618"/>
    <w:multiLevelType w:val="hybridMultilevel"/>
    <w:tmpl w:val="035E9864"/>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1045B0"/>
    <w:multiLevelType w:val="hybridMultilevel"/>
    <w:tmpl w:val="46908AD2"/>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BF2E2B"/>
    <w:multiLevelType w:val="hybridMultilevel"/>
    <w:tmpl w:val="BC36E322"/>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5AD4D13"/>
    <w:multiLevelType w:val="hybridMultilevel"/>
    <w:tmpl w:val="0BCCFAD4"/>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BE8450A"/>
    <w:multiLevelType w:val="hybridMultilevel"/>
    <w:tmpl w:val="8ED89648"/>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706FA7"/>
    <w:multiLevelType w:val="hybridMultilevel"/>
    <w:tmpl w:val="53EA93E2"/>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9B3D2E"/>
    <w:multiLevelType w:val="hybridMultilevel"/>
    <w:tmpl w:val="84320870"/>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A0376C"/>
    <w:multiLevelType w:val="hybridMultilevel"/>
    <w:tmpl w:val="A26C8256"/>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1DD17B4"/>
    <w:multiLevelType w:val="hybridMultilevel"/>
    <w:tmpl w:val="30B4B272"/>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4441796"/>
    <w:multiLevelType w:val="hybridMultilevel"/>
    <w:tmpl w:val="F84C01BE"/>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63F1DF6"/>
    <w:multiLevelType w:val="hybridMultilevel"/>
    <w:tmpl w:val="218ECAB2"/>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B984184"/>
    <w:multiLevelType w:val="hybridMultilevel"/>
    <w:tmpl w:val="292A80E0"/>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0A47BF3"/>
    <w:multiLevelType w:val="hybridMultilevel"/>
    <w:tmpl w:val="CE46EB86"/>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4303272"/>
    <w:multiLevelType w:val="hybridMultilevel"/>
    <w:tmpl w:val="FEB610A8"/>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CA77696"/>
    <w:multiLevelType w:val="hybridMultilevel"/>
    <w:tmpl w:val="68B8D288"/>
    <w:lvl w:ilvl="0" w:tplc="EBC68904">
      <w:start w:val="1"/>
      <w:numFmt w:val="bullet"/>
      <w:lvlText w:val=""/>
      <w:lvlJc w:val="left"/>
      <w:pPr>
        <w:tabs>
          <w:tab w:val="num" w:pos="720"/>
        </w:tabs>
        <w:ind w:left="72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11"/>
  </w:num>
  <w:num w:numId="6">
    <w:abstractNumId w:val="9"/>
  </w:num>
  <w:num w:numId="7">
    <w:abstractNumId w:val="5"/>
  </w:num>
  <w:num w:numId="8">
    <w:abstractNumId w:val="13"/>
  </w:num>
  <w:num w:numId="9">
    <w:abstractNumId w:val="6"/>
  </w:num>
  <w:num w:numId="10">
    <w:abstractNumId w:val="3"/>
  </w:num>
  <w:num w:numId="11">
    <w:abstractNumId w:val="2"/>
  </w:num>
  <w:num w:numId="12">
    <w:abstractNumId w:val="1"/>
  </w:num>
  <w:num w:numId="13">
    <w:abstractNumId w:val="0"/>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hideSpellingErrors/>
  <w:proofState w:spelling="clean"/>
  <w:attachedTemplate r:id="rId1"/>
  <w:doNotTrackMove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nutzer»" w:val="Schm"/>
    <w:docVar w:name="adressat" w:val="1"/>
    <w:docVar w:name="betnr" w:val="2198"/>
    <w:docVar w:name="database" w:val="ADVOWARE"/>
    <w:docVar w:name="history" w:val="Schreiben an Mandant (Oliver Hausmann)"/>
    <w:docVar w:name="IPSpeechSession$" w:val="FALSE"/>
    <w:docVar w:name="IPSpeechSessionSaved$" w:val="FALSE"/>
    <w:docVar w:name="Kz" w:val="1"/>
    <w:docVar w:name="Musterschriftsatz" w:val="Schriftsatz an Oliver Hausmann (Mandant) (Merkblatt für Mandanten.doc)"/>
    <w:docVar w:name="nr" w:val="2010000001"/>
    <w:docVar w:name="speichern" w:val="ja"/>
  </w:docVars>
  <w:rsids>
    <w:rsidRoot w:val="000553A7"/>
    <w:rsid w:val="00013A2E"/>
    <w:rsid w:val="000553A7"/>
    <w:rsid w:val="00090CEE"/>
    <w:rsid w:val="00094C8F"/>
    <w:rsid w:val="000B10B5"/>
    <w:rsid w:val="000E26A7"/>
    <w:rsid w:val="001326C8"/>
    <w:rsid w:val="001E4D52"/>
    <w:rsid w:val="002572B6"/>
    <w:rsid w:val="00297257"/>
    <w:rsid w:val="002D0712"/>
    <w:rsid w:val="0034451C"/>
    <w:rsid w:val="0038788B"/>
    <w:rsid w:val="00393A77"/>
    <w:rsid w:val="003C5D52"/>
    <w:rsid w:val="00404324"/>
    <w:rsid w:val="00416E1C"/>
    <w:rsid w:val="004B737A"/>
    <w:rsid w:val="004D4534"/>
    <w:rsid w:val="00574296"/>
    <w:rsid w:val="0065560B"/>
    <w:rsid w:val="00695BC0"/>
    <w:rsid w:val="00696297"/>
    <w:rsid w:val="006D0E6D"/>
    <w:rsid w:val="006E2B52"/>
    <w:rsid w:val="00757F7A"/>
    <w:rsid w:val="00772B2A"/>
    <w:rsid w:val="007B51FC"/>
    <w:rsid w:val="008A5ACB"/>
    <w:rsid w:val="0094515B"/>
    <w:rsid w:val="009B4A62"/>
    <w:rsid w:val="00A17F57"/>
    <w:rsid w:val="00A6496B"/>
    <w:rsid w:val="00A90C9A"/>
    <w:rsid w:val="00AA3A96"/>
    <w:rsid w:val="00AB49D5"/>
    <w:rsid w:val="00B64A6A"/>
    <w:rsid w:val="00BB5172"/>
    <w:rsid w:val="00C113DE"/>
    <w:rsid w:val="00C16C2D"/>
    <w:rsid w:val="00C91324"/>
    <w:rsid w:val="00D03001"/>
    <w:rsid w:val="00D84AF0"/>
    <w:rsid w:val="00DA51F6"/>
    <w:rsid w:val="00DC465C"/>
    <w:rsid w:val="00DD006F"/>
    <w:rsid w:val="00DD60E4"/>
    <w:rsid w:val="00E21598"/>
    <w:rsid w:val="00E30FA2"/>
    <w:rsid w:val="00E97D93"/>
    <w:rsid w:val="00EF5F7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0CEE"/>
    <w:rPr>
      <w:rFonts w:ascii="Times New Roman" w:hAnsi="Times New Roman"/>
      <w:sz w:val="24"/>
    </w:rPr>
  </w:style>
  <w:style w:type="paragraph" w:styleId="berschrift1">
    <w:name w:val="heading 1"/>
    <w:basedOn w:val="Standard"/>
    <w:next w:val="Standard"/>
    <w:qFormat/>
    <w:rsid w:val="00090CEE"/>
    <w:pPr>
      <w:spacing w:before="240"/>
      <w:outlineLvl w:val="0"/>
    </w:pPr>
    <w:rPr>
      <w:rFonts w:ascii="MS Sans Serif" w:hAnsi="MS Sans Serif"/>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90CEE"/>
    <w:pPr>
      <w:tabs>
        <w:tab w:val="center" w:pos="4819"/>
        <w:tab w:val="right" w:pos="9071"/>
      </w:tabs>
    </w:pPr>
    <w:rPr>
      <w:sz w:val="16"/>
    </w:rPr>
  </w:style>
  <w:style w:type="paragraph" w:styleId="Kopfzeile">
    <w:name w:val="header"/>
    <w:semiHidden/>
    <w:rsid w:val="00090CEE"/>
    <w:pPr>
      <w:tabs>
        <w:tab w:val="center" w:pos="1021"/>
        <w:tab w:val="center" w:pos="4820"/>
        <w:tab w:val="center" w:pos="7938"/>
      </w:tabs>
    </w:pPr>
  </w:style>
  <w:style w:type="paragraph" w:customStyle="1" w:styleId="Kopfzeile1">
    <w:name w:val="Kopfzeile 1"/>
    <w:rsid w:val="00090CEE"/>
    <w:pPr>
      <w:tabs>
        <w:tab w:val="center" w:pos="1701"/>
        <w:tab w:val="center" w:pos="7939"/>
      </w:tabs>
      <w:spacing w:before="120"/>
    </w:pPr>
    <w:rPr>
      <w:rFonts w:ascii="Arial" w:hAnsi="Arial"/>
      <w:b/>
      <w:spacing w:val="60"/>
      <w:sz w:val="22"/>
    </w:rPr>
  </w:style>
  <w:style w:type="paragraph" w:customStyle="1" w:styleId="Kopfzeile2">
    <w:name w:val="Kopfzeile 2"/>
    <w:basedOn w:val="Kopfzeile1"/>
    <w:rsid w:val="00090CEE"/>
    <w:pPr>
      <w:spacing w:before="170"/>
    </w:pPr>
    <w:rPr>
      <w:sz w:val="18"/>
    </w:rPr>
  </w:style>
  <w:style w:type="paragraph" w:customStyle="1" w:styleId="Kopflinie">
    <w:name w:val="Kopflinie"/>
    <w:rsid w:val="00090CEE"/>
    <w:pPr>
      <w:pBdr>
        <w:bottom w:val="single" w:sz="6" w:space="1" w:color="auto"/>
        <w:between w:val="single" w:sz="6" w:space="1" w:color="auto"/>
      </w:pBdr>
      <w:spacing w:after="72"/>
    </w:pPr>
  </w:style>
  <w:style w:type="paragraph" w:customStyle="1" w:styleId="Fuzeile1">
    <w:name w:val="Fußzeile 1"/>
    <w:rsid w:val="00090CEE"/>
    <w:pPr>
      <w:tabs>
        <w:tab w:val="left" w:pos="2155"/>
        <w:tab w:val="left" w:pos="3742"/>
        <w:tab w:val="left" w:pos="6010"/>
        <w:tab w:val="left" w:pos="8222"/>
      </w:tabs>
    </w:pPr>
    <w:rPr>
      <w:rFonts w:ascii="Arial" w:hAnsi="Arial"/>
      <w:sz w:val="16"/>
    </w:rPr>
  </w:style>
  <w:style w:type="paragraph" w:customStyle="1" w:styleId="Fuzeile2-n">
    <w:name w:val="Fußzeile 2 - n"/>
    <w:basedOn w:val="Fuzeile1"/>
    <w:rsid w:val="00090CEE"/>
    <w:rPr>
      <w:sz w:val="14"/>
    </w:rPr>
  </w:style>
  <w:style w:type="paragraph" w:customStyle="1" w:styleId="Seitenzahl1">
    <w:name w:val="Seitenzahl1"/>
    <w:basedOn w:val="Standard"/>
    <w:rsid w:val="00090CEE"/>
    <w:pPr>
      <w:tabs>
        <w:tab w:val="center" w:pos="4990"/>
      </w:tabs>
    </w:pPr>
  </w:style>
  <w:style w:type="paragraph" w:customStyle="1" w:styleId="Titelzeile">
    <w:name w:val="Titelzeile"/>
    <w:basedOn w:val="Standard"/>
    <w:rsid w:val="00090CEE"/>
    <w:pPr>
      <w:tabs>
        <w:tab w:val="right" w:pos="9979"/>
      </w:tabs>
    </w:pPr>
  </w:style>
  <w:style w:type="character" w:styleId="Seitenzahl">
    <w:name w:val="page number"/>
    <w:basedOn w:val="Absatz-Standardschriftart"/>
    <w:semiHidden/>
    <w:rsid w:val="00090CEE"/>
  </w:style>
  <w:style w:type="paragraph" w:styleId="Sprechblasentext">
    <w:name w:val="Balloon Text"/>
    <w:basedOn w:val="Standard"/>
    <w:semiHidden/>
    <w:rsid w:val="00090CEE"/>
    <w:rPr>
      <w:rFonts w:ascii="Tahoma" w:hAnsi="Tahoma" w:cs="Tahoma"/>
      <w:sz w:val="16"/>
      <w:szCs w:val="16"/>
    </w:rPr>
  </w:style>
  <w:style w:type="character" w:customStyle="1" w:styleId="FuzeileZchn">
    <w:name w:val="Fußzeile Zchn"/>
    <w:basedOn w:val="Absatz-Standardschriftart"/>
    <w:link w:val="Fuzeile"/>
    <w:semiHidden/>
    <w:rsid w:val="00757F7A"/>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352655962">
      <w:bodyDiv w:val="1"/>
      <w:marLeft w:val="0"/>
      <w:marRight w:val="0"/>
      <w:marTop w:val="0"/>
      <w:marBottom w:val="0"/>
      <w:divBdr>
        <w:top w:val="none" w:sz="0" w:space="0" w:color="auto"/>
        <w:left w:val="none" w:sz="0" w:space="0" w:color="auto"/>
        <w:bottom w:val="none" w:sz="0" w:space="0" w:color="auto"/>
        <w:right w:val="none" w:sz="0" w:space="0" w:color="auto"/>
      </w:divBdr>
    </w:div>
    <w:div w:id="15725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DOT\bet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C016-87DF-4BF1-9FBF-35AF2074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bet2</Template>
  <TotalTime>0</TotalTime>
  <Pages>3</Pages>
  <Words>951</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Advo-ware-Dokumentvorlage</vt:lpstr>
    </vt:vector>
  </TitlesOfParts>
  <Company>Advo-web GmbH</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Schm55532010000001.docx</dc:title>
  <dc:subject/>
  <dc:creator>Stephan Schmelzer</dc:creator>
  <cp:keywords>2010000001</cp:keywords>
  <dc:description/>
  <cp:lastModifiedBy>Stephan Schmelzer</cp:lastModifiedBy>
  <cp:revision>2</cp:revision>
  <cp:lastPrinted>2010-08-02T14:24:00Z</cp:lastPrinted>
  <dcterms:created xsi:type="dcterms:W3CDTF">2010-08-02T14:34:00Z</dcterms:created>
  <dcterms:modified xsi:type="dcterms:W3CDTF">2010-08-02T14:34:00Z</dcterms:modified>
</cp:coreProperties>
</file>